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400"/>
        <w:gridCol w:w="2320"/>
        <w:gridCol w:w="1820"/>
        <w:gridCol w:w="180"/>
        <w:gridCol w:w="1200"/>
        <w:gridCol w:w="420"/>
        <w:gridCol w:w="1180"/>
        <w:gridCol w:w="1200"/>
        <w:gridCol w:w="2000"/>
        <w:gridCol w:w="380"/>
        <w:gridCol w:w="400"/>
      </w:tblGrid>
      <w:tr w:rsidR="004F470D">
        <w:trPr>
          <w:trHeight w:hRule="exact" w:val="48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tcPr>
          <w:p w:rsidR="004F470D" w:rsidRDefault="004F470D">
            <w:pPr>
              <w:pStyle w:val="EMPTYCELLSTYLE"/>
            </w:pPr>
          </w:p>
        </w:tc>
        <w:tc>
          <w:tcPr>
            <w:tcW w:w="1820" w:type="dxa"/>
          </w:tcPr>
          <w:p w:rsidR="004F470D" w:rsidRDefault="004F470D">
            <w:pPr>
              <w:pStyle w:val="EMPTYCELLSTYLE"/>
            </w:pPr>
          </w:p>
        </w:tc>
        <w:tc>
          <w:tcPr>
            <w:tcW w:w="180" w:type="dxa"/>
          </w:tcPr>
          <w:p w:rsidR="004F470D" w:rsidRDefault="004F470D">
            <w:pPr>
              <w:pStyle w:val="EMPTYCELLSTYLE"/>
            </w:pPr>
          </w:p>
        </w:tc>
        <w:tc>
          <w:tcPr>
            <w:tcW w:w="1200" w:type="dxa"/>
          </w:tcPr>
          <w:p w:rsidR="004F470D" w:rsidRDefault="004F470D">
            <w:pPr>
              <w:pStyle w:val="EMPTYCELLSTYLE"/>
            </w:pPr>
          </w:p>
        </w:tc>
        <w:tc>
          <w:tcPr>
            <w:tcW w:w="420" w:type="dxa"/>
          </w:tcPr>
          <w:p w:rsidR="004F470D" w:rsidRDefault="004F470D">
            <w:pPr>
              <w:pStyle w:val="EMPTYCELLSTYLE"/>
            </w:pPr>
          </w:p>
        </w:tc>
        <w:tc>
          <w:tcPr>
            <w:tcW w:w="1180" w:type="dxa"/>
          </w:tcPr>
          <w:p w:rsidR="004F470D" w:rsidRDefault="004F470D">
            <w:pPr>
              <w:pStyle w:val="EMPTYCELLSTYLE"/>
            </w:pPr>
          </w:p>
        </w:tc>
        <w:tc>
          <w:tcPr>
            <w:tcW w:w="1200" w:type="dxa"/>
          </w:tcPr>
          <w:p w:rsidR="004F470D" w:rsidRDefault="004F470D">
            <w:pPr>
              <w:pStyle w:val="EMPTYCELLSTYLE"/>
            </w:pPr>
          </w:p>
        </w:tc>
        <w:tc>
          <w:tcPr>
            <w:tcW w:w="2000" w:type="dxa"/>
          </w:tcPr>
          <w:p w:rsidR="004F470D" w:rsidRDefault="004F470D">
            <w:pPr>
              <w:pStyle w:val="EMPTYCELLSTYLE"/>
            </w:pP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174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tcPr>
          <w:p w:rsidR="004F470D" w:rsidRDefault="004F470D">
            <w:pPr>
              <w:pStyle w:val="EMPTYCELLSTYLE"/>
            </w:pPr>
          </w:p>
        </w:tc>
        <w:tc>
          <w:tcPr>
            <w:tcW w:w="1820" w:type="dxa"/>
          </w:tcPr>
          <w:p w:rsidR="004F470D" w:rsidRDefault="004F470D">
            <w:pPr>
              <w:pStyle w:val="EMPTYCELLSTYLE"/>
            </w:pPr>
          </w:p>
        </w:tc>
        <w:tc>
          <w:tcPr>
            <w:tcW w:w="1800" w:type="dxa"/>
            <w:gridSpan w:val="3"/>
            <w:tcMar>
              <w:top w:w="0" w:type="dxa"/>
              <w:left w:w="0" w:type="dxa"/>
              <w:bottom w:w="0" w:type="dxa"/>
              <w:right w:w="0" w:type="dxa"/>
            </w:tcMar>
          </w:tcPr>
          <w:p w:rsidR="004F470D" w:rsidRDefault="001345B8">
            <w:r>
              <w:rPr>
                <w:noProof/>
              </w:rPr>
              <w:drawing>
                <wp:anchor distT="0" distB="0" distL="0" distR="0" simplePos="0" relativeHeight="251658240" behindDoc="0" locked="1" layoutInCell="1" allowOverlap="1">
                  <wp:simplePos x="0" y="0"/>
                  <wp:positionH relativeFrom="column">
                    <wp:align>left</wp:align>
                  </wp:positionH>
                  <wp:positionV relativeFrom="line">
                    <wp:posOffset>0</wp:posOffset>
                  </wp:positionV>
                  <wp:extent cx="1104900" cy="1104900"/>
                  <wp:effectExtent l="0" t="0" r="0" b="0"/>
                  <wp:wrapNone/>
                  <wp:docPr id="539120961" name="Picture"/>
                  <wp:cNvGraphicFramePr/>
                  <a:graphic xmlns:a="http://schemas.openxmlformats.org/drawingml/2006/main">
                    <a:graphicData uri="http://schemas.openxmlformats.org/drawingml/2006/picture">
                      <pic:pic xmlns:pic="http://schemas.openxmlformats.org/drawingml/2006/picture">
                        <pic:nvPicPr>
                          <pic:cNvPr id="539120961" name="Picture"/>
                          <pic:cNvPicPr/>
                        </pic:nvPicPr>
                        <pic:blipFill>
                          <a:blip r:embed="rId5"/>
                          <a:srcRect/>
                          <a:stretch>
                            <a:fillRect/>
                          </a:stretch>
                        </pic:blipFill>
                        <pic:spPr>
                          <a:xfrm>
                            <a:off x="0" y="0"/>
                            <a:ext cx="1104900" cy="1104900"/>
                          </a:xfrm>
                          <a:prstGeom prst="rect">
                            <a:avLst/>
                          </a:prstGeom>
                        </pic:spPr>
                      </pic:pic>
                    </a:graphicData>
                  </a:graphic>
                </wp:anchor>
              </w:drawing>
            </w:r>
          </w:p>
        </w:tc>
        <w:tc>
          <w:tcPr>
            <w:tcW w:w="1180" w:type="dxa"/>
          </w:tcPr>
          <w:p w:rsidR="004F470D" w:rsidRDefault="004F470D">
            <w:pPr>
              <w:pStyle w:val="EMPTYCELLSTYLE"/>
            </w:pPr>
          </w:p>
        </w:tc>
        <w:tc>
          <w:tcPr>
            <w:tcW w:w="1200" w:type="dxa"/>
          </w:tcPr>
          <w:p w:rsidR="004F470D" w:rsidRDefault="004F470D">
            <w:pPr>
              <w:pStyle w:val="EMPTYCELLSTYLE"/>
            </w:pPr>
          </w:p>
        </w:tc>
        <w:tc>
          <w:tcPr>
            <w:tcW w:w="2000" w:type="dxa"/>
          </w:tcPr>
          <w:p w:rsidR="004F470D" w:rsidRDefault="004F470D">
            <w:pPr>
              <w:pStyle w:val="EMPTYCELLSTYLE"/>
            </w:pP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10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pPr>
              <w:jc w:val="center"/>
            </w:pPr>
            <w:r>
              <w:rPr>
                <w:rFonts w:ascii="Arial" w:eastAsia="Arial" w:hAnsi="Arial" w:cs="Arial"/>
                <w:b/>
                <w:sz w:val="28"/>
              </w:rPr>
              <w:t>T.C.</w:t>
            </w:r>
            <w:r>
              <w:rPr>
                <w:rFonts w:ascii="Arial" w:eastAsia="Arial" w:hAnsi="Arial" w:cs="Arial"/>
                <w:b/>
                <w:sz w:val="28"/>
              </w:rPr>
              <w:br/>
              <w:t>TOPLU KONUT İDARESİ BAŞKANLIĞI</w:t>
            </w:r>
            <w:r>
              <w:rPr>
                <w:rFonts w:ascii="Arial" w:eastAsia="Arial" w:hAnsi="Arial" w:cs="Arial"/>
                <w:b/>
                <w:sz w:val="28"/>
              </w:rPr>
              <w:br/>
            </w:r>
          </w:p>
        </w:tc>
        <w:tc>
          <w:tcPr>
            <w:tcW w:w="400" w:type="dxa"/>
          </w:tcPr>
          <w:p w:rsidR="004F470D" w:rsidRDefault="004F470D">
            <w:pPr>
              <w:pStyle w:val="EMPTYCELLSTYLE"/>
            </w:pPr>
          </w:p>
        </w:tc>
      </w:tr>
      <w:tr w:rsidR="004F470D">
        <w:trPr>
          <w:trHeight w:hRule="exact" w:val="138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pPr>
              <w:jc w:val="center"/>
            </w:pPr>
            <w:r>
              <w:rPr>
                <w:b/>
                <w:sz w:val="24"/>
              </w:rPr>
              <w:t xml:space="preserve">BOLU İLİ MUDURNU İLÇESİ KAYGANA MAHALLESİ 4.ETAP 488 ADET </w:t>
            </w:r>
            <w:proofErr w:type="gramStart"/>
            <w:r>
              <w:rPr>
                <w:b/>
                <w:sz w:val="24"/>
              </w:rPr>
              <w:t>KONUT , 1'ER</w:t>
            </w:r>
            <w:proofErr w:type="gramEnd"/>
            <w:r>
              <w:rPr>
                <w:b/>
                <w:sz w:val="24"/>
              </w:rPr>
              <w:t xml:space="preserve"> ADET TİCARET MERKEZİ, 24 DERSLİKLİ İLKÖĞRETİM OKULU </w:t>
            </w:r>
            <w:r>
              <w:rPr>
                <w:b/>
                <w:sz w:val="24"/>
              </w:rPr>
              <w:br/>
              <w:t>TOPLU KONUT UYGULAMASI</w:t>
            </w:r>
            <w:r>
              <w:rPr>
                <w:b/>
                <w:sz w:val="24"/>
              </w:rPr>
              <w:br/>
              <w:t>SATIŞ DUYURUSU/ÖN BİLGİLENDİRME FORMU</w:t>
            </w:r>
            <w:r>
              <w:rPr>
                <w:b/>
                <w:sz w:val="24"/>
              </w:rPr>
              <w:br/>
            </w:r>
          </w:p>
        </w:tc>
        <w:tc>
          <w:tcPr>
            <w:tcW w:w="400" w:type="dxa"/>
          </w:tcPr>
          <w:p w:rsidR="004F470D" w:rsidRDefault="004F470D">
            <w:pPr>
              <w:pStyle w:val="EMPTYCELLSTYLE"/>
            </w:pPr>
          </w:p>
        </w:tc>
      </w:tr>
      <w:tr w:rsidR="004F470D">
        <w:trPr>
          <w:trHeight w:hRule="exact" w:val="82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sidP="00FE7E88">
            <w:r>
              <w:rPr>
                <w:sz w:val="24"/>
              </w:rPr>
              <w:t>Toplu Konut İdaresi Başkanlığınca 90 adet konut;</w:t>
            </w:r>
            <w:r w:rsidR="00B75DF3">
              <w:rPr>
                <w:sz w:val="24"/>
              </w:rPr>
              <w:t xml:space="preserve"> </w:t>
            </w:r>
            <w:r>
              <w:rPr>
                <w:sz w:val="24"/>
              </w:rPr>
              <w:t xml:space="preserve">ön şartsız, kurasız başvuru önceliğine göre konut alma ve seçme olanağı ile </w:t>
            </w:r>
            <w:r w:rsidR="00FE7E88">
              <w:rPr>
                <w:b/>
                <w:sz w:val="24"/>
              </w:rPr>
              <w:t>16</w:t>
            </w:r>
            <w:r>
              <w:rPr>
                <w:b/>
                <w:sz w:val="24"/>
              </w:rPr>
              <w:t xml:space="preserve"> Temmuz 2019 - 31 Aralık 2019</w:t>
            </w:r>
            <w:r>
              <w:rPr>
                <w:sz w:val="24"/>
              </w:rPr>
              <w:t xml:space="preserve"> tarihleri arasında Açık Satışa sunulacaktır.</w:t>
            </w:r>
          </w:p>
        </w:tc>
        <w:tc>
          <w:tcPr>
            <w:tcW w:w="400" w:type="dxa"/>
          </w:tcPr>
          <w:p w:rsidR="004F470D" w:rsidRDefault="004F470D">
            <w:pPr>
              <w:pStyle w:val="EMPTYCELLSTYLE"/>
            </w:pPr>
          </w:p>
        </w:tc>
      </w:tr>
      <w:tr w:rsidR="004F470D">
        <w:trPr>
          <w:trHeight w:hRule="exact" w:val="54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b/>
                <w:sz w:val="24"/>
              </w:rPr>
              <w:t>Proje Adı:</w:t>
            </w:r>
            <w:r>
              <w:rPr>
                <w:sz w:val="24"/>
              </w:rPr>
              <w:t xml:space="preserve"> BOLU İLİ MUDURNU İLÇESİ KAYGANA MAHALLESİ</w:t>
            </w:r>
            <w:r w:rsidR="00B75DF3">
              <w:rPr>
                <w:sz w:val="24"/>
              </w:rPr>
              <w:t xml:space="preserve"> 4.ETAP 488 ADET KONUT</w:t>
            </w:r>
            <w:r>
              <w:rPr>
                <w:sz w:val="24"/>
              </w:rPr>
              <w:t>, 1'ER ADET TİCARET MERKEZİ, 24 DERSLİKLİ İLKÖĞRETİM OKULU</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b/>
                <w:sz w:val="24"/>
              </w:rPr>
              <w:t>Satışa Sunulan Konut Sayısı:</w:t>
            </w:r>
            <w:r>
              <w:rPr>
                <w:sz w:val="24"/>
              </w:rPr>
              <w:t xml:space="preserve"> 3+1 konut 90 adet</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b/>
                <w:sz w:val="24"/>
              </w:rPr>
              <w:t>Satış Yönetimi:</w:t>
            </w:r>
            <w:r>
              <w:rPr>
                <w:sz w:val="24"/>
              </w:rPr>
              <w:t xml:space="preserve"> Açık Satış</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b/>
                <w:sz w:val="24"/>
              </w:rPr>
              <w:t>Satıcı:</w:t>
            </w:r>
            <w:r>
              <w:rPr>
                <w:sz w:val="24"/>
              </w:rPr>
              <w:t xml:space="preserve"> Toplu Konut İdaresi Başkanlığı (İdare)</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b/>
                <w:sz w:val="24"/>
              </w:rPr>
              <w:t>Adres:</w:t>
            </w:r>
            <w:r>
              <w:rPr>
                <w:sz w:val="24"/>
              </w:rPr>
              <w:t xml:space="preserve"> Bilkent Plaza, B1 Blok, 06800, Bilkent, Ankara</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b/>
                <w:sz w:val="24"/>
              </w:rPr>
              <w:t>İletişim İnternet:</w:t>
            </w:r>
            <w:r>
              <w:rPr>
                <w:sz w:val="24"/>
              </w:rPr>
              <w:t xml:space="preserve"> www.toki.gov.tr</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b/>
                <w:sz w:val="24"/>
              </w:rPr>
              <w:t>İletişim telefon:</w:t>
            </w:r>
            <w:r>
              <w:rPr>
                <w:sz w:val="24"/>
              </w:rPr>
              <w:t xml:space="preserve"> 444 86 54</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sidP="00044AB2">
            <w:r>
              <w:rPr>
                <w:b/>
                <w:sz w:val="24"/>
              </w:rPr>
              <w:t>Satış tarihleri:</w:t>
            </w:r>
            <w:r>
              <w:rPr>
                <w:sz w:val="24"/>
              </w:rPr>
              <w:t xml:space="preserve"> </w:t>
            </w:r>
            <w:r w:rsidR="00044AB2">
              <w:rPr>
                <w:sz w:val="24"/>
              </w:rPr>
              <w:t>16</w:t>
            </w:r>
            <w:bookmarkStart w:id="0" w:name="_GoBack"/>
            <w:bookmarkEnd w:id="0"/>
            <w:r>
              <w:rPr>
                <w:sz w:val="24"/>
              </w:rPr>
              <w:t xml:space="preserve"> Temmuz 2019 - 31 Aralık 2019</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sidP="00FE7E88">
            <w:r>
              <w:rPr>
                <w:b/>
                <w:sz w:val="24"/>
              </w:rPr>
              <w:t>Satış Yapılacak Banka Şubesi:</w:t>
            </w:r>
            <w:r>
              <w:rPr>
                <w:sz w:val="24"/>
              </w:rPr>
              <w:t xml:space="preserve"> TC. Ziraat Bankası AŞ. </w:t>
            </w:r>
            <w:r w:rsidR="00FE7E88">
              <w:rPr>
                <w:sz w:val="24"/>
              </w:rPr>
              <w:t>Tüm</w:t>
            </w:r>
            <w:r>
              <w:rPr>
                <w:sz w:val="24"/>
              </w:rPr>
              <w:t xml:space="preserve"> Şube</w:t>
            </w:r>
            <w:r w:rsidR="00FE7E88">
              <w:rPr>
                <w:sz w:val="24"/>
              </w:rPr>
              <w:t>lerinde</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proofErr w:type="gramStart"/>
            <w:r>
              <w:rPr>
                <w:b/>
                <w:sz w:val="24"/>
              </w:rPr>
              <w:t>Temerküz Şube:</w:t>
            </w:r>
            <w:r>
              <w:rPr>
                <w:sz w:val="24"/>
              </w:rPr>
              <w:t xml:space="preserve"> TC. </w:t>
            </w:r>
            <w:proofErr w:type="gramEnd"/>
            <w:r>
              <w:rPr>
                <w:sz w:val="24"/>
              </w:rPr>
              <w:t>Ziraat Bankası AŞ. Mudurnu/Bolu</w:t>
            </w:r>
          </w:p>
        </w:tc>
        <w:tc>
          <w:tcPr>
            <w:tcW w:w="400" w:type="dxa"/>
          </w:tcPr>
          <w:p w:rsidR="004F470D" w:rsidRDefault="004F470D">
            <w:pPr>
              <w:pStyle w:val="EMPTYCELLSTYLE"/>
            </w:pPr>
          </w:p>
        </w:tc>
      </w:tr>
      <w:tr w:rsidR="004F470D">
        <w:trPr>
          <w:trHeight w:hRule="exact" w:val="82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sidP="00FE7E88">
            <w:r>
              <w:rPr>
                <w:sz w:val="24"/>
              </w:rPr>
              <w:t>• Konutların satış fiyat ve koşulları ilgili banka Şube</w:t>
            </w:r>
            <w:r w:rsidR="00FE7E88">
              <w:rPr>
                <w:sz w:val="24"/>
              </w:rPr>
              <w:t>lerinde</w:t>
            </w:r>
            <w:r>
              <w:rPr>
                <w:sz w:val="24"/>
              </w:rPr>
              <w:t xml:space="preserve"> ve Toplu Konut İdaresi Başkanlığının web sayfası (www.toki.gov.tr) aracılığıyla duyurulmaktadır. En düşük ve en yüksek fiyatlar ile alternatifli ödeme koşulları aşağıda sunulmaktadır.</w:t>
            </w:r>
          </w:p>
        </w:tc>
        <w:tc>
          <w:tcPr>
            <w:tcW w:w="400" w:type="dxa"/>
          </w:tcPr>
          <w:p w:rsidR="004F470D" w:rsidRDefault="004F470D">
            <w:pPr>
              <w:pStyle w:val="EMPTYCELLSTYLE"/>
            </w:pPr>
          </w:p>
        </w:tc>
      </w:tr>
      <w:tr w:rsidR="004F470D">
        <w:trPr>
          <w:trHeight w:hRule="exact" w:val="6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tcPr>
          <w:p w:rsidR="004F470D" w:rsidRDefault="004F470D">
            <w:pPr>
              <w:pStyle w:val="EMPTYCELLSTYLE"/>
            </w:pPr>
          </w:p>
        </w:tc>
        <w:tc>
          <w:tcPr>
            <w:tcW w:w="1820" w:type="dxa"/>
          </w:tcPr>
          <w:p w:rsidR="004F470D" w:rsidRDefault="004F470D">
            <w:pPr>
              <w:pStyle w:val="EMPTYCELLSTYLE"/>
            </w:pPr>
          </w:p>
        </w:tc>
        <w:tc>
          <w:tcPr>
            <w:tcW w:w="180" w:type="dxa"/>
          </w:tcPr>
          <w:p w:rsidR="004F470D" w:rsidRDefault="004F470D">
            <w:pPr>
              <w:pStyle w:val="EMPTYCELLSTYLE"/>
            </w:pPr>
          </w:p>
        </w:tc>
        <w:tc>
          <w:tcPr>
            <w:tcW w:w="1200" w:type="dxa"/>
          </w:tcPr>
          <w:p w:rsidR="004F470D" w:rsidRDefault="004F470D">
            <w:pPr>
              <w:pStyle w:val="EMPTYCELLSTYLE"/>
            </w:pPr>
          </w:p>
        </w:tc>
        <w:tc>
          <w:tcPr>
            <w:tcW w:w="420" w:type="dxa"/>
          </w:tcPr>
          <w:p w:rsidR="004F470D" w:rsidRDefault="004F470D">
            <w:pPr>
              <w:pStyle w:val="EMPTYCELLSTYLE"/>
            </w:pPr>
          </w:p>
        </w:tc>
        <w:tc>
          <w:tcPr>
            <w:tcW w:w="1180" w:type="dxa"/>
          </w:tcPr>
          <w:p w:rsidR="004F470D" w:rsidRDefault="004F470D">
            <w:pPr>
              <w:pStyle w:val="EMPTYCELLSTYLE"/>
            </w:pPr>
          </w:p>
        </w:tc>
        <w:tc>
          <w:tcPr>
            <w:tcW w:w="1200" w:type="dxa"/>
          </w:tcPr>
          <w:p w:rsidR="004F470D" w:rsidRDefault="004F470D">
            <w:pPr>
              <w:pStyle w:val="EMPTYCELLSTYLE"/>
            </w:pPr>
          </w:p>
        </w:tc>
        <w:tc>
          <w:tcPr>
            <w:tcW w:w="2000" w:type="dxa"/>
          </w:tcPr>
          <w:p w:rsidR="004F470D" w:rsidRDefault="004F470D">
            <w:pPr>
              <w:pStyle w:val="EMPTYCELLSTYLE"/>
            </w:pP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11100" w:type="dxa"/>
            <w:gridSpan w:val="10"/>
            <w:tcMar>
              <w:top w:w="0" w:type="dxa"/>
              <w:left w:w="0" w:type="dxa"/>
              <w:bottom w:w="0" w:type="dxa"/>
              <w:right w:w="0" w:type="dxa"/>
            </w:tcMar>
            <w:vAlign w:val="center"/>
          </w:tcPr>
          <w:p w:rsidR="004F470D" w:rsidRDefault="001345B8">
            <w:pPr>
              <w:jc w:val="center"/>
            </w:pPr>
            <w:r>
              <w:rPr>
                <w:b/>
                <w:sz w:val="24"/>
              </w:rPr>
              <w:t>KONUT SATIŞ/ÖDEME BİLGİLERİ</w:t>
            </w:r>
          </w:p>
        </w:tc>
        <w:tc>
          <w:tcPr>
            <w:tcW w:w="400" w:type="dxa"/>
          </w:tcPr>
          <w:p w:rsidR="004F470D" w:rsidRDefault="004F470D">
            <w:pPr>
              <w:pStyle w:val="EMPTYCELLSTYLE"/>
            </w:pPr>
          </w:p>
        </w:tc>
      </w:tr>
      <w:tr w:rsidR="004F470D">
        <w:trPr>
          <w:trHeight w:hRule="exact" w:val="88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4F470D" w:rsidRDefault="001345B8">
            <w:pPr>
              <w:jc w:val="center"/>
            </w:pPr>
            <w:r>
              <w:rPr>
                <w:b/>
              </w:rPr>
              <w:t>KONUT TİPİ</w:t>
            </w:r>
          </w:p>
        </w:tc>
        <w:tc>
          <w:tcPr>
            <w:tcW w:w="2000" w:type="dxa"/>
            <w:gridSpan w:val="2"/>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4F470D" w:rsidRDefault="001345B8">
            <w:pPr>
              <w:jc w:val="center"/>
            </w:pPr>
            <w:r>
              <w:rPr>
                <w:b/>
              </w:rPr>
              <w:t>KONUT FİYATI (TL)</w:t>
            </w:r>
            <w:r>
              <w:rPr>
                <w:b/>
              </w:rPr>
              <w:br/>
              <w:t>EN DÜŞÜK-EN YÜKSEK</w:t>
            </w:r>
          </w:p>
        </w:tc>
        <w:tc>
          <w:tcPr>
            <w:tcW w:w="2800" w:type="dxa"/>
            <w:gridSpan w:val="3"/>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4F470D" w:rsidRDefault="001345B8">
            <w:pPr>
              <w:jc w:val="center"/>
            </w:pPr>
            <w:r>
              <w:rPr>
                <w:b/>
              </w:rPr>
              <w:t>SATIŞ TARİHİNDE ÖDENECEK PEŞİNAT (TL)</w:t>
            </w:r>
          </w:p>
        </w:tc>
        <w:tc>
          <w:tcPr>
            <w:tcW w:w="120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4F470D" w:rsidRDefault="001345B8">
            <w:pPr>
              <w:jc w:val="center"/>
            </w:pPr>
            <w:r>
              <w:rPr>
                <w:b/>
              </w:rPr>
              <w:t>VADE</w:t>
            </w:r>
            <w:r>
              <w:rPr>
                <w:b/>
              </w:rPr>
              <w:br/>
              <w:t xml:space="preserve"> (AY)</w:t>
            </w:r>
            <w:r>
              <w:rPr>
                <w:b/>
              </w:rPr>
              <w:br/>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rPr>
                <w:b/>
              </w:rPr>
              <w:t>BAŞLANGIÇ TAKSİDİ</w:t>
            </w:r>
            <w:r>
              <w:rPr>
                <w:b/>
              </w:rPr>
              <w:br/>
              <w:t>(TL)</w:t>
            </w: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rPr>
                <w:u w:val="single"/>
              </w:rPr>
              <w:t>Brüt Alan</w:t>
            </w:r>
            <w:r>
              <w:br/>
            </w:r>
            <w:proofErr w:type="gramStart"/>
            <w:r>
              <w:t>109.64</w:t>
            </w:r>
            <w:proofErr w:type="gramEnd"/>
            <w:r>
              <w:t xml:space="preserve"> - 112.09 m²</w:t>
            </w:r>
            <w:r>
              <w:br/>
            </w:r>
            <w:r>
              <w:rPr>
                <w:u w:val="single"/>
              </w:rPr>
              <w:t>Net Alan</w:t>
            </w:r>
            <w:r>
              <w:br/>
              <w:t>88.89 - 91.1 m²</w:t>
            </w:r>
            <w:r>
              <w:br/>
              <w:t>(3+1)</w:t>
            </w:r>
            <w:r>
              <w:br/>
              <w:t>(90 adet)</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171.458,64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%10</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17.145,86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120</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1.285,94</w:t>
            </w: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4F470D">
            <w:pPr>
              <w:pStyle w:val="EMPTYCELLSTYLE"/>
            </w:pPr>
          </w:p>
        </w:tc>
        <w:tc>
          <w:tcPr>
            <w:tcW w:w="1820" w:type="dxa"/>
          </w:tcPr>
          <w:p w:rsidR="004F470D" w:rsidRDefault="004F470D">
            <w:pPr>
              <w:pStyle w:val="EMPTYCELLSTYLE"/>
            </w:pPr>
          </w:p>
        </w:tc>
        <w:tc>
          <w:tcPr>
            <w:tcW w:w="180" w:type="dxa"/>
          </w:tcPr>
          <w:p w:rsidR="004F470D" w:rsidRDefault="004F47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%15</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25.718,80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156</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934,23</w:t>
            </w: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4F470D">
            <w:pPr>
              <w:pStyle w:val="EMPTYCELLSTYLE"/>
            </w:pPr>
          </w:p>
        </w:tc>
        <w:tc>
          <w:tcPr>
            <w:tcW w:w="1820" w:type="dxa"/>
          </w:tcPr>
          <w:p w:rsidR="004F470D" w:rsidRDefault="004F470D">
            <w:pPr>
              <w:pStyle w:val="EMPTYCELLSTYLE"/>
            </w:pPr>
          </w:p>
        </w:tc>
        <w:tc>
          <w:tcPr>
            <w:tcW w:w="180" w:type="dxa"/>
          </w:tcPr>
          <w:p w:rsidR="004F470D" w:rsidRDefault="004F47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%20</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34.291,73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180</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762,04</w:t>
            </w: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16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4F470D">
            <w:pPr>
              <w:pStyle w:val="EMPTYCELLSTYLE"/>
            </w:pPr>
          </w:p>
        </w:tc>
        <w:tc>
          <w:tcPr>
            <w:tcW w:w="1820" w:type="dxa"/>
          </w:tcPr>
          <w:p w:rsidR="004F470D" w:rsidRDefault="004F470D">
            <w:pPr>
              <w:pStyle w:val="EMPTYCELLSTYLE"/>
            </w:pPr>
          </w:p>
        </w:tc>
        <w:tc>
          <w:tcPr>
            <w:tcW w:w="180" w:type="dxa"/>
          </w:tcPr>
          <w:p w:rsidR="004F470D" w:rsidRDefault="004F470D">
            <w:pPr>
              <w:pStyle w:val="EMPTYCELLSTYLE"/>
            </w:pPr>
          </w:p>
        </w:tc>
        <w:tc>
          <w:tcPr>
            <w:tcW w:w="1200" w:type="dxa"/>
          </w:tcPr>
          <w:p w:rsidR="004F470D" w:rsidRDefault="004F470D">
            <w:pPr>
              <w:pStyle w:val="EMPTYCELLSTYLE"/>
            </w:pPr>
          </w:p>
        </w:tc>
        <w:tc>
          <w:tcPr>
            <w:tcW w:w="420" w:type="dxa"/>
          </w:tcPr>
          <w:p w:rsidR="004F470D" w:rsidRDefault="004F470D">
            <w:pPr>
              <w:pStyle w:val="EMPTYCELLSTYLE"/>
            </w:pPr>
          </w:p>
        </w:tc>
        <w:tc>
          <w:tcPr>
            <w:tcW w:w="1180" w:type="dxa"/>
          </w:tcPr>
          <w:p w:rsidR="004F470D" w:rsidRDefault="004F470D">
            <w:pPr>
              <w:pStyle w:val="EMPTYCELLSTYLE"/>
            </w:pPr>
          </w:p>
        </w:tc>
        <w:tc>
          <w:tcPr>
            <w:tcW w:w="1200" w:type="dxa"/>
          </w:tcPr>
          <w:p w:rsidR="004F470D" w:rsidRDefault="004F470D">
            <w:pPr>
              <w:pStyle w:val="EMPTYCELLSTYLE"/>
            </w:pPr>
          </w:p>
        </w:tc>
        <w:tc>
          <w:tcPr>
            <w:tcW w:w="2000" w:type="dxa"/>
          </w:tcPr>
          <w:p w:rsidR="004F470D" w:rsidRDefault="004F470D">
            <w:pPr>
              <w:pStyle w:val="EMPTYCELLSTYLE"/>
            </w:pP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4F47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237.371,75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%10</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23.737,18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120</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1.780,29</w:t>
            </w: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4F470D">
            <w:pPr>
              <w:pStyle w:val="EMPTYCELLSTYLE"/>
            </w:pPr>
          </w:p>
        </w:tc>
        <w:tc>
          <w:tcPr>
            <w:tcW w:w="1820" w:type="dxa"/>
          </w:tcPr>
          <w:p w:rsidR="004F470D" w:rsidRDefault="004F470D">
            <w:pPr>
              <w:pStyle w:val="EMPTYCELLSTYLE"/>
            </w:pPr>
          </w:p>
        </w:tc>
        <w:tc>
          <w:tcPr>
            <w:tcW w:w="180" w:type="dxa"/>
          </w:tcPr>
          <w:p w:rsidR="004F470D" w:rsidRDefault="004F47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%15</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35.605,76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156</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1.293,37</w:t>
            </w: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4F470D">
            <w:pPr>
              <w:pStyle w:val="EMPTYCELLSTYLE"/>
            </w:pPr>
          </w:p>
        </w:tc>
        <w:tc>
          <w:tcPr>
            <w:tcW w:w="1820" w:type="dxa"/>
          </w:tcPr>
          <w:p w:rsidR="004F470D" w:rsidRDefault="004F470D">
            <w:pPr>
              <w:pStyle w:val="EMPTYCELLSTYLE"/>
            </w:pPr>
          </w:p>
        </w:tc>
        <w:tc>
          <w:tcPr>
            <w:tcW w:w="180" w:type="dxa"/>
          </w:tcPr>
          <w:p w:rsidR="004F470D" w:rsidRDefault="004F47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%20</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47.474,35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180</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1345B8">
            <w:pPr>
              <w:jc w:val="center"/>
            </w:pPr>
            <w:r>
              <w:t>1.054,99</w:t>
            </w: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240"/>
        </w:trPr>
        <w:tc>
          <w:tcPr>
            <w:tcW w:w="400" w:type="dxa"/>
          </w:tcPr>
          <w:p w:rsidR="004F470D" w:rsidRDefault="004F470D">
            <w:pPr>
              <w:pStyle w:val="EMPTYCELLSTYLE"/>
            </w:pPr>
          </w:p>
        </w:tc>
        <w:tc>
          <w:tcPr>
            <w:tcW w:w="400" w:type="dxa"/>
          </w:tcPr>
          <w:p w:rsidR="004F470D" w:rsidRDefault="004F470D">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F470D" w:rsidRDefault="004F470D">
            <w:pPr>
              <w:pStyle w:val="EMPTYCELLSTYLE"/>
            </w:pPr>
          </w:p>
        </w:tc>
        <w:tc>
          <w:tcPr>
            <w:tcW w:w="1820" w:type="dxa"/>
          </w:tcPr>
          <w:p w:rsidR="004F470D" w:rsidRDefault="004F470D">
            <w:pPr>
              <w:pStyle w:val="EMPTYCELLSTYLE"/>
            </w:pPr>
          </w:p>
        </w:tc>
        <w:tc>
          <w:tcPr>
            <w:tcW w:w="180" w:type="dxa"/>
          </w:tcPr>
          <w:p w:rsidR="004F470D" w:rsidRDefault="004F470D">
            <w:pPr>
              <w:pStyle w:val="EMPTYCELLSTYLE"/>
            </w:pPr>
          </w:p>
        </w:tc>
        <w:tc>
          <w:tcPr>
            <w:tcW w:w="1200" w:type="dxa"/>
          </w:tcPr>
          <w:p w:rsidR="004F470D" w:rsidRDefault="004F470D">
            <w:pPr>
              <w:pStyle w:val="EMPTYCELLSTYLE"/>
            </w:pPr>
          </w:p>
        </w:tc>
        <w:tc>
          <w:tcPr>
            <w:tcW w:w="420" w:type="dxa"/>
          </w:tcPr>
          <w:p w:rsidR="004F470D" w:rsidRDefault="004F470D">
            <w:pPr>
              <w:pStyle w:val="EMPTYCELLSTYLE"/>
            </w:pPr>
          </w:p>
        </w:tc>
        <w:tc>
          <w:tcPr>
            <w:tcW w:w="1180" w:type="dxa"/>
          </w:tcPr>
          <w:p w:rsidR="004F470D" w:rsidRDefault="004F470D">
            <w:pPr>
              <w:pStyle w:val="EMPTYCELLSTYLE"/>
            </w:pPr>
          </w:p>
        </w:tc>
        <w:tc>
          <w:tcPr>
            <w:tcW w:w="1200" w:type="dxa"/>
          </w:tcPr>
          <w:p w:rsidR="004F470D" w:rsidRDefault="004F470D">
            <w:pPr>
              <w:pStyle w:val="EMPTYCELLSTYLE"/>
            </w:pPr>
          </w:p>
        </w:tc>
        <w:tc>
          <w:tcPr>
            <w:tcW w:w="2000" w:type="dxa"/>
          </w:tcPr>
          <w:p w:rsidR="004F470D" w:rsidRDefault="004F470D">
            <w:pPr>
              <w:pStyle w:val="EMPTYCELLSTYLE"/>
            </w:pPr>
          </w:p>
        </w:tc>
        <w:tc>
          <w:tcPr>
            <w:tcW w:w="380" w:type="dxa"/>
          </w:tcPr>
          <w:p w:rsidR="004F470D" w:rsidRDefault="004F470D">
            <w:pPr>
              <w:pStyle w:val="EMPTYCELLSTYLE"/>
            </w:pPr>
          </w:p>
        </w:tc>
        <w:tc>
          <w:tcPr>
            <w:tcW w:w="400" w:type="dxa"/>
          </w:tcPr>
          <w:p w:rsidR="004F470D" w:rsidRDefault="004F470D">
            <w:pPr>
              <w:pStyle w:val="EMPTYCELLSTYLE"/>
            </w:pPr>
          </w:p>
        </w:tc>
      </w:tr>
      <w:tr w:rsidR="004F470D">
        <w:trPr>
          <w:trHeight w:hRule="exact" w:val="54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Proje yapı ruhsat tarihi;</w:t>
            </w:r>
            <w:r w:rsidR="007F793F" w:rsidRPr="007F793F">
              <w:rPr>
                <w:b/>
                <w:sz w:val="24"/>
              </w:rPr>
              <w:t xml:space="preserve"> 19 Haziran 2018</w:t>
            </w:r>
            <w:r>
              <w:rPr>
                <w:sz w:val="24"/>
              </w:rPr>
              <w:br/>
            </w:r>
          </w:p>
        </w:tc>
        <w:tc>
          <w:tcPr>
            <w:tcW w:w="400" w:type="dxa"/>
          </w:tcPr>
          <w:p w:rsidR="004F470D" w:rsidRDefault="004F470D">
            <w:pPr>
              <w:pStyle w:val="EMPTYCELLSTYLE"/>
            </w:pPr>
          </w:p>
        </w:tc>
      </w:tr>
      <w:tr w:rsidR="004F470D">
        <w:trPr>
          <w:trHeight w:hRule="exact" w:val="11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Konut seçimini yapan alıcılar %10 peşinat bedeli için 120 ay vade,%15 peşinat bedeli için 156 ay vade,%20 peşinat bedeli için 180 ay vade alternatifleri çerçevesinde peşinatlarını ilgili banka şubelerine yatırarak Gayrimenkul Satış Sözleşmesini imzalayacaklardır.</w:t>
            </w:r>
            <w:r>
              <w:rPr>
                <w:sz w:val="24"/>
              </w:rPr>
              <w:br/>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ageBreakBefore/>
            </w:pPr>
          </w:p>
        </w:tc>
        <w:tc>
          <w:tcPr>
            <w:tcW w:w="11100" w:type="dxa"/>
            <w:gridSpan w:val="10"/>
          </w:tcPr>
          <w:p w:rsidR="004F470D" w:rsidRDefault="004F470D">
            <w:pPr>
              <w:pStyle w:val="EMPTYCELLSTYLE"/>
            </w:pPr>
          </w:p>
        </w:tc>
        <w:tc>
          <w:tcPr>
            <w:tcW w:w="400" w:type="dxa"/>
          </w:tcPr>
          <w:p w:rsidR="004F470D" w:rsidRDefault="004F470D">
            <w:pPr>
              <w:pStyle w:val="EMPTYCELLSTYLE"/>
            </w:pPr>
          </w:p>
        </w:tc>
      </w:tr>
      <w:tr w:rsidR="004F470D">
        <w:trPr>
          <w:trHeight w:hRule="exact" w:val="194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xml:space="preserve">• </w:t>
            </w:r>
            <w:r>
              <w:rPr>
                <w:b/>
                <w:sz w:val="24"/>
              </w:rPr>
              <w:t>Şehit Aileleri, Harp ve Vazife Malulleri ile bunların Dul ve Yetimlerinde;</w:t>
            </w:r>
            <w:r>
              <w:rPr>
                <w:sz w:val="24"/>
              </w:rPr>
              <w:t xml:space="preserve"> Konutlar %10 peşin 240 ay vadeli sabit taksit ödemeli ve taksit başlangıçları teslim tarihini takip eden ay itibariyle başlayacak şekilde satılacaktır. Satış aşamasında, Sosyal Güvenlik Kurumu’ndan alınan “HAK SAHİPLİĞİ BELGESİ” ile Projenin bulunduğu İl sınırları içerisinde son 3 yıldır oturuyor olduklarına dair adrese dayalı nüfus kayıt sisteminden alacakları belge veya İl nüfusuna kayıtlı olduklarına ait belgeler istenecektir.</w:t>
            </w:r>
            <w:r>
              <w:rPr>
                <w:sz w:val="24"/>
              </w:rPr>
              <w:br/>
            </w:r>
          </w:p>
        </w:tc>
        <w:tc>
          <w:tcPr>
            <w:tcW w:w="400" w:type="dxa"/>
          </w:tcPr>
          <w:p w:rsidR="004F470D" w:rsidRDefault="004F470D">
            <w:pPr>
              <w:pStyle w:val="EMPTYCELLSTYLE"/>
            </w:pPr>
          </w:p>
        </w:tc>
      </w:tr>
      <w:tr w:rsidR="004F470D">
        <w:trPr>
          <w:trHeight w:hRule="exact" w:val="138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xml:space="preserve">• </w:t>
            </w:r>
            <w:r>
              <w:rPr>
                <w:b/>
                <w:sz w:val="24"/>
              </w:rPr>
              <w:t>Peşinat bedeli üzerinden %0,5 (binde beş) oranında banka komisyonu ve banka komisyonu üzerinden %5 (yüzde beş)oranında BSMV satış sırasında bankaca tahsil edilecektir.</w:t>
            </w:r>
            <w:r>
              <w:rPr>
                <w:sz w:val="24"/>
              </w:rPr>
              <w:t xml:space="preserve"> Ayrıca banka komisyonu ve BSMV her taksit ödemesiyle birlikte, taksit tutarı üzerinden </w:t>
            </w:r>
            <w:proofErr w:type="spellStart"/>
            <w:r>
              <w:rPr>
                <w:sz w:val="24"/>
              </w:rPr>
              <w:t>ALICI’dan</w:t>
            </w:r>
            <w:proofErr w:type="spellEnd"/>
            <w:r>
              <w:rPr>
                <w:sz w:val="24"/>
              </w:rPr>
              <w:t xml:space="preserve"> tahsil edilir.</w:t>
            </w:r>
            <w:r>
              <w:rPr>
                <w:sz w:val="24"/>
              </w:rPr>
              <w:br/>
            </w:r>
          </w:p>
        </w:tc>
        <w:tc>
          <w:tcPr>
            <w:tcW w:w="400" w:type="dxa"/>
          </w:tcPr>
          <w:p w:rsidR="004F470D" w:rsidRDefault="004F470D">
            <w:pPr>
              <w:pStyle w:val="EMPTYCELLSTYLE"/>
            </w:pPr>
          </w:p>
        </w:tc>
      </w:tr>
      <w:tr w:rsidR="004F470D">
        <w:trPr>
          <w:trHeight w:hRule="exact" w:val="11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Borç bakiyesi ve aylık taksitler her yılın Ocak ve Temmuz aylarında olmak üzere yılda iki kez, bir önceki 6 aylık dönemdeki memur maaş artış oranı, dikkate alınarak İdarece belirlenecek oranda artırılacaktır.</w:t>
            </w:r>
            <w:r>
              <w:rPr>
                <w:sz w:val="24"/>
              </w:rPr>
              <w:br/>
            </w:r>
          </w:p>
        </w:tc>
        <w:tc>
          <w:tcPr>
            <w:tcW w:w="400" w:type="dxa"/>
          </w:tcPr>
          <w:p w:rsidR="004F470D" w:rsidRDefault="004F470D">
            <w:pPr>
              <w:pStyle w:val="EMPTYCELLSTYLE"/>
            </w:pPr>
          </w:p>
        </w:tc>
      </w:tr>
      <w:tr w:rsidR="004F470D">
        <w:trPr>
          <w:trHeight w:hRule="exact" w:val="54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xml:space="preserve">• </w:t>
            </w:r>
            <w:r>
              <w:rPr>
                <w:b/>
                <w:sz w:val="24"/>
              </w:rPr>
              <w:t>İlk taksit ödeme tarihi; Konut teslim tarihini takip eden ay itibariyle başlatılacaktır.</w:t>
            </w:r>
            <w:r>
              <w:rPr>
                <w:sz w:val="24"/>
              </w:rPr>
              <w:br/>
            </w:r>
          </w:p>
        </w:tc>
        <w:tc>
          <w:tcPr>
            <w:tcW w:w="400" w:type="dxa"/>
          </w:tcPr>
          <w:p w:rsidR="004F470D" w:rsidRDefault="004F470D">
            <w:pPr>
              <w:pStyle w:val="EMPTYCELLSTYLE"/>
            </w:pPr>
          </w:p>
        </w:tc>
      </w:tr>
      <w:tr w:rsidR="004F470D">
        <w:trPr>
          <w:trHeight w:hRule="exact" w:val="54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xml:space="preserve">• </w:t>
            </w:r>
            <w:r>
              <w:rPr>
                <w:b/>
                <w:sz w:val="24"/>
              </w:rPr>
              <w:t xml:space="preserve">İlk dönemsel artış tarihi; Konut teslim tarihine göre </w:t>
            </w:r>
            <w:proofErr w:type="spellStart"/>
            <w:r>
              <w:rPr>
                <w:b/>
                <w:sz w:val="24"/>
              </w:rPr>
              <w:t>İDARE’ce</w:t>
            </w:r>
            <w:proofErr w:type="spellEnd"/>
            <w:r>
              <w:rPr>
                <w:b/>
                <w:sz w:val="24"/>
              </w:rPr>
              <w:t xml:space="preserve"> belirlenecektir.</w:t>
            </w:r>
            <w:r>
              <w:rPr>
                <w:sz w:val="24"/>
              </w:rPr>
              <w:br/>
            </w:r>
          </w:p>
        </w:tc>
        <w:tc>
          <w:tcPr>
            <w:tcW w:w="400" w:type="dxa"/>
          </w:tcPr>
          <w:p w:rsidR="004F470D" w:rsidRDefault="004F470D">
            <w:pPr>
              <w:pStyle w:val="EMPTYCELLSTYLE"/>
            </w:pPr>
          </w:p>
        </w:tc>
      </w:tr>
      <w:tr w:rsidR="004F470D">
        <w:trPr>
          <w:trHeight w:hRule="exact" w:val="82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Konut alıcısı, sözleşmenin kurulduğu tarihten itibaren on dört gün içinde, herhangi bir gerekçe göstermeksizin ve cezai şart ödemeksizin sözleşmeden cayma hakkına sahiptir.</w:t>
            </w:r>
            <w:r>
              <w:rPr>
                <w:sz w:val="24"/>
              </w:rPr>
              <w:br/>
            </w:r>
          </w:p>
        </w:tc>
        <w:tc>
          <w:tcPr>
            <w:tcW w:w="400" w:type="dxa"/>
          </w:tcPr>
          <w:p w:rsidR="004F470D" w:rsidRDefault="004F470D">
            <w:pPr>
              <w:pStyle w:val="EMPTYCELLSTYLE"/>
            </w:pPr>
          </w:p>
        </w:tc>
      </w:tr>
      <w:tr w:rsidR="004F470D">
        <w:trPr>
          <w:trHeight w:hRule="exact" w:val="82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Konut alıcısı, Gayrimenkulün fiili tesliminden evvel teslim süresi içerisinde herhangi bir gerekçe göstermeden sözleşmeden dönme hakkına sahiptir.</w:t>
            </w:r>
            <w:r>
              <w:rPr>
                <w:sz w:val="24"/>
              </w:rPr>
              <w:br/>
            </w:r>
          </w:p>
        </w:tc>
        <w:tc>
          <w:tcPr>
            <w:tcW w:w="400" w:type="dxa"/>
          </w:tcPr>
          <w:p w:rsidR="004F470D" w:rsidRDefault="004F470D">
            <w:pPr>
              <w:pStyle w:val="EMPTYCELLSTYLE"/>
            </w:pPr>
          </w:p>
        </w:tc>
      </w:tr>
      <w:tr w:rsidR="004F470D">
        <w:trPr>
          <w:trHeight w:hRule="exact" w:val="138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“Konut satın almak için başvuruda bulunan kişilerin kendisi, eşi ve velayeti altındaki çocukları üzerine tapuda kayıtlı bağımsız bir konutun bulunmaması, daha önce Toplu Konut İdaresince satılmış bir gayrimenkule sahip olmamış ve daha önce Toplu Konut İdaresinden kredi almamış olmaları” şartları kaldırılmıştır.</w:t>
            </w:r>
            <w:r>
              <w:rPr>
                <w:sz w:val="24"/>
              </w:rPr>
              <w:br/>
            </w:r>
          </w:p>
        </w:tc>
        <w:tc>
          <w:tcPr>
            <w:tcW w:w="400" w:type="dxa"/>
          </w:tcPr>
          <w:p w:rsidR="004F470D" w:rsidRDefault="004F470D">
            <w:pPr>
              <w:pStyle w:val="EMPTYCELLSTYLE"/>
            </w:pPr>
          </w:p>
        </w:tc>
      </w:tr>
      <w:tr w:rsidR="004F470D">
        <w:trPr>
          <w:trHeight w:hRule="exact" w:val="82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Projede konut büyüklükleri ve mahal listelerinde bir çelişki olduğu takdirde uygulama projesi ve sözleşmedeki bilgiler esas kabul edilecektir.</w:t>
            </w:r>
            <w:r>
              <w:rPr>
                <w:sz w:val="24"/>
              </w:rPr>
              <w:br/>
            </w:r>
          </w:p>
        </w:tc>
        <w:tc>
          <w:tcPr>
            <w:tcW w:w="400" w:type="dxa"/>
          </w:tcPr>
          <w:p w:rsidR="004F470D" w:rsidRDefault="004F470D">
            <w:pPr>
              <w:pStyle w:val="EMPTYCELLSTYLE"/>
            </w:pPr>
          </w:p>
        </w:tc>
      </w:tr>
      <w:tr w:rsidR="004F470D">
        <w:trPr>
          <w:trHeight w:hRule="exact" w:val="54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xml:space="preserve">• </w:t>
            </w:r>
            <w:r>
              <w:rPr>
                <w:b/>
                <w:sz w:val="24"/>
              </w:rPr>
              <w:t>Konutların teslim süresi,</w:t>
            </w:r>
            <w:r>
              <w:rPr>
                <w:sz w:val="24"/>
              </w:rPr>
              <w:t xml:space="preserve"> sözleşme tarihinden itibaren 36</w:t>
            </w:r>
            <w:r w:rsidR="0007467B">
              <w:rPr>
                <w:sz w:val="24"/>
              </w:rPr>
              <w:t xml:space="preserve"> ay</w:t>
            </w:r>
            <w:r>
              <w:rPr>
                <w:sz w:val="24"/>
              </w:rPr>
              <w:t>dır.</w:t>
            </w:r>
            <w:r>
              <w:rPr>
                <w:sz w:val="24"/>
              </w:rPr>
              <w:br/>
            </w:r>
          </w:p>
        </w:tc>
        <w:tc>
          <w:tcPr>
            <w:tcW w:w="400" w:type="dxa"/>
          </w:tcPr>
          <w:p w:rsidR="004F470D" w:rsidRDefault="004F470D">
            <w:pPr>
              <w:pStyle w:val="EMPTYCELLSTYLE"/>
            </w:pPr>
          </w:p>
        </w:tc>
      </w:tr>
      <w:tr w:rsidR="004F470D">
        <w:trPr>
          <w:trHeight w:hRule="exact" w:val="82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Anahtar teslimi öncesinde, KDV Kanunu uyarınca konut bedelinin %1’i oranında KDV ayrıca alıcılar tarafından ödenecektir.</w:t>
            </w:r>
            <w:r>
              <w:rPr>
                <w:sz w:val="24"/>
              </w:rPr>
              <w:br/>
            </w:r>
          </w:p>
        </w:tc>
        <w:tc>
          <w:tcPr>
            <w:tcW w:w="400" w:type="dxa"/>
          </w:tcPr>
          <w:p w:rsidR="004F470D" w:rsidRDefault="004F470D">
            <w:pPr>
              <w:pStyle w:val="EMPTYCELLSTYLE"/>
            </w:pPr>
          </w:p>
        </w:tc>
      </w:tr>
      <w:tr w:rsidR="004F470D">
        <w:trPr>
          <w:trHeight w:hRule="exact" w:val="194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xml:space="preserve">• Konut tesliminden sonra ALICI, Yönetim Planı ve </w:t>
            </w:r>
            <w:proofErr w:type="spellStart"/>
            <w:r>
              <w:rPr>
                <w:sz w:val="24"/>
              </w:rPr>
              <w:t>KMK’da</w:t>
            </w:r>
            <w:proofErr w:type="spellEnd"/>
            <w:r>
              <w:rPr>
                <w:sz w:val="24"/>
              </w:rPr>
              <w:t xml:space="preserve"> öngörülen ortak giderlerden bağımsız bölüme (GAYRİMENKUL) isabet eden miktarları, toplu yapı alanındaki ortak tesislere ilişkin giderleri ve blok aidatlarını anahtar tesliminin gerçekleştiği veya teslim ihbarında belirtilen sürenin içinde bulunduğu aydan geçerli olmak üzere her ay yapı/site yönetimine ödeyecektir. Alıcı bağımsız bölümü teslim almamış olsa dahi aidat ve ortak alan giderlerini ödemekle yükümlüdür.</w:t>
            </w:r>
            <w:r>
              <w:rPr>
                <w:sz w:val="24"/>
              </w:rPr>
              <w:br/>
            </w:r>
          </w:p>
        </w:tc>
        <w:tc>
          <w:tcPr>
            <w:tcW w:w="400" w:type="dxa"/>
          </w:tcPr>
          <w:p w:rsidR="004F470D" w:rsidRDefault="004F470D">
            <w:pPr>
              <w:pStyle w:val="EMPTYCELLSTYLE"/>
            </w:pPr>
          </w:p>
        </w:tc>
      </w:tr>
      <w:tr w:rsidR="004F470D">
        <w:trPr>
          <w:trHeight w:hRule="exact" w:val="82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 xml:space="preserve">• </w:t>
            </w:r>
            <w:r>
              <w:rPr>
                <w:b/>
                <w:sz w:val="24"/>
              </w:rPr>
              <w:t>Konut alıcıları sözleşmeden doğan haklarını üçüncü şahsa anahtar teslim tarihinden itibaren 1 (bir) yıl sonra devir edebileceklerdir.</w:t>
            </w:r>
            <w:r>
              <w:rPr>
                <w:sz w:val="24"/>
              </w:rPr>
              <w:br/>
            </w:r>
          </w:p>
        </w:tc>
        <w:tc>
          <w:tcPr>
            <w:tcW w:w="400" w:type="dxa"/>
          </w:tcPr>
          <w:p w:rsidR="004F470D" w:rsidRDefault="004F470D">
            <w:pPr>
              <w:pStyle w:val="EMPTYCELLSTYLE"/>
            </w:pPr>
          </w:p>
        </w:tc>
      </w:tr>
      <w:tr w:rsidR="004F470D">
        <w:trPr>
          <w:trHeight w:hRule="exact" w:val="300"/>
        </w:trPr>
        <w:tc>
          <w:tcPr>
            <w:tcW w:w="400" w:type="dxa"/>
          </w:tcPr>
          <w:p w:rsidR="004F470D" w:rsidRDefault="004F470D">
            <w:pPr>
              <w:pStyle w:val="EMPTYCELLSTYLE"/>
            </w:pPr>
          </w:p>
        </w:tc>
        <w:tc>
          <w:tcPr>
            <w:tcW w:w="11100" w:type="dxa"/>
            <w:gridSpan w:val="10"/>
          </w:tcPr>
          <w:p w:rsidR="004F470D" w:rsidRDefault="004F470D">
            <w:pPr>
              <w:pStyle w:val="EMPTYCELLSTYLE"/>
            </w:pPr>
          </w:p>
        </w:tc>
        <w:tc>
          <w:tcPr>
            <w:tcW w:w="400" w:type="dxa"/>
          </w:tcPr>
          <w:p w:rsidR="004F470D" w:rsidRDefault="004F470D">
            <w:pPr>
              <w:pStyle w:val="EMPTYCELLSTYLE"/>
            </w:pPr>
          </w:p>
        </w:tc>
      </w:tr>
      <w:tr w:rsidR="004F470D">
        <w:trPr>
          <w:trHeight w:hRule="exact" w:val="222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r>
              <w:rPr>
                <w:sz w:val="24"/>
              </w:rPr>
              <w:t>İdare gerek görmesi halinde satışa sunulan konutlardan bir kısmını veya tamamını satıştan çekmeye yetkilidir.</w:t>
            </w:r>
            <w:r>
              <w:rPr>
                <w:sz w:val="24"/>
              </w:rPr>
              <w:br/>
              <w:t>Gayrimenkul Satış İşlemleri Özel Hukuk Hükümlerine tabidir.</w:t>
            </w:r>
            <w:r>
              <w:rPr>
                <w:sz w:val="24"/>
              </w:rPr>
              <w:br/>
            </w:r>
            <w:r>
              <w:rPr>
                <w:sz w:val="24"/>
              </w:rPr>
              <w:br/>
            </w:r>
            <w:r>
              <w:rPr>
                <w:sz w:val="24"/>
              </w:rPr>
              <w:br/>
              <w:t xml:space="preserve">İnternet sayfamızda yayımlanan planlar tanıtım amaçlıdır. Konutların brüt ve net m² büyüklükleri satış listelerinde gösterilmiştir. Brüt ve net m² hesabı yürürlükteki son İmar Yönetmeliğindeki </w:t>
            </w:r>
            <w:proofErr w:type="gramStart"/>
            <w:r>
              <w:rPr>
                <w:sz w:val="24"/>
              </w:rPr>
              <w:t>kriterlere</w:t>
            </w:r>
            <w:proofErr w:type="gramEnd"/>
            <w:r>
              <w:rPr>
                <w:sz w:val="24"/>
              </w:rPr>
              <w:t xml:space="preserve"> göre yapılmaktadır. Net m² hesabı sıva imalatının yerinde </w:t>
            </w:r>
          </w:p>
        </w:tc>
        <w:tc>
          <w:tcPr>
            <w:tcW w:w="400" w:type="dxa"/>
          </w:tcPr>
          <w:p w:rsidR="004F470D" w:rsidRDefault="004F470D">
            <w:pPr>
              <w:pStyle w:val="EMPTYCELLSTYLE"/>
            </w:pPr>
          </w:p>
        </w:tc>
      </w:tr>
      <w:tr w:rsidR="004F470D">
        <w:trPr>
          <w:trHeight w:hRule="exact" w:val="400"/>
        </w:trPr>
        <w:tc>
          <w:tcPr>
            <w:tcW w:w="400" w:type="dxa"/>
          </w:tcPr>
          <w:p w:rsidR="004F470D" w:rsidRDefault="004F470D">
            <w:pPr>
              <w:pStyle w:val="EMPTYCELLSTYLE"/>
              <w:pageBreakBefore/>
            </w:pPr>
          </w:p>
        </w:tc>
        <w:tc>
          <w:tcPr>
            <w:tcW w:w="11100" w:type="dxa"/>
            <w:gridSpan w:val="10"/>
          </w:tcPr>
          <w:p w:rsidR="004F470D" w:rsidRDefault="004F470D">
            <w:pPr>
              <w:pStyle w:val="EMPTYCELLSTYLE"/>
            </w:pPr>
          </w:p>
        </w:tc>
        <w:tc>
          <w:tcPr>
            <w:tcW w:w="400" w:type="dxa"/>
          </w:tcPr>
          <w:p w:rsidR="004F470D" w:rsidRDefault="004F470D">
            <w:pPr>
              <w:pStyle w:val="EMPTYCELLSTYLE"/>
            </w:pPr>
          </w:p>
        </w:tc>
      </w:tr>
      <w:tr w:rsidR="004F470D">
        <w:trPr>
          <w:trHeight w:hRule="exact" w:val="1100"/>
        </w:trPr>
        <w:tc>
          <w:tcPr>
            <w:tcW w:w="400" w:type="dxa"/>
          </w:tcPr>
          <w:p w:rsidR="004F470D" w:rsidRDefault="004F470D">
            <w:pPr>
              <w:pStyle w:val="EMPTYCELLSTYLE"/>
            </w:pPr>
          </w:p>
        </w:tc>
        <w:tc>
          <w:tcPr>
            <w:tcW w:w="11100" w:type="dxa"/>
            <w:gridSpan w:val="10"/>
            <w:tcMar>
              <w:top w:w="0" w:type="dxa"/>
              <w:left w:w="0" w:type="dxa"/>
              <w:bottom w:w="0" w:type="dxa"/>
              <w:right w:w="0" w:type="dxa"/>
            </w:tcMar>
          </w:tcPr>
          <w:p w:rsidR="004F470D" w:rsidRDefault="001345B8">
            <w:proofErr w:type="gramStart"/>
            <w:r>
              <w:rPr>
                <w:sz w:val="24"/>
              </w:rPr>
              <w:t>uygulama</w:t>
            </w:r>
            <w:proofErr w:type="gramEnd"/>
            <w:r>
              <w:rPr>
                <w:sz w:val="24"/>
              </w:rPr>
              <w:t xml:space="preserve"> kalınlığına göre farklılık gösterebilir.</w:t>
            </w:r>
            <w:r>
              <w:rPr>
                <w:sz w:val="24"/>
              </w:rPr>
              <w:br/>
            </w:r>
            <w:r>
              <w:rPr>
                <w:sz w:val="24"/>
              </w:rPr>
              <w:br/>
            </w:r>
            <w:r>
              <w:rPr>
                <w:sz w:val="24"/>
              </w:rPr>
              <w:br/>
            </w:r>
            <w:r>
              <w:rPr>
                <w:b/>
                <w:sz w:val="24"/>
              </w:rPr>
              <w:t xml:space="preserve">AYRINTILI BİLGİ </w:t>
            </w:r>
            <w:proofErr w:type="gramStart"/>
            <w:r>
              <w:rPr>
                <w:b/>
                <w:sz w:val="24"/>
              </w:rPr>
              <w:t>İÇİN :</w:t>
            </w:r>
            <w:r>
              <w:rPr>
                <w:sz w:val="24"/>
              </w:rPr>
              <w:t xml:space="preserve"> TOKİ</w:t>
            </w:r>
            <w:proofErr w:type="gramEnd"/>
            <w:r>
              <w:rPr>
                <w:sz w:val="24"/>
              </w:rPr>
              <w:t xml:space="preserve"> Web Sayfası, </w:t>
            </w:r>
            <w:r>
              <w:rPr>
                <w:b/>
                <w:sz w:val="24"/>
              </w:rPr>
              <w:t xml:space="preserve">www.toki.gov.tr ve Bilgi Hattı : 444 86 54 </w:t>
            </w:r>
          </w:p>
        </w:tc>
        <w:tc>
          <w:tcPr>
            <w:tcW w:w="400" w:type="dxa"/>
          </w:tcPr>
          <w:p w:rsidR="004F470D" w:rsidRDefault="004F470D">
            <w:pPr>
              <w:pStyle w:val="EMPTYCELLSTYLE"/>
            </w:pPr>
          </w:p>
        </w:tc>
      </w:tr>
    </w:tbl>
    <w:p w:rsidR="001345B8" w:rsidRDefault="001345B8"/>
    <w:sectPr w:rsidR="001345B8">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F470D"/>
    <w:rsid w:val="00044AB2"/>
    <w:rsid w:val="0007467B"/>
    <w:rsid w:val="001345B8"/>
    <w:rsid w:val="001F3726"/>
    <w:rsid w:val="004F470D"/>
    <w:rsid w:val="007F793F"/>
    <w:rsid w:val="00B75DF3"/>
    <w:rsid w:val="00FE7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4670</Characters>
  <Application>Microsoft Office Word</Application>
  <DocSecurity>0</DocSecurity>
  <Lines>38</Lines>
  <Paragraphs>10</Paragraphs>
  <ScaleCrop>false</ScaleCrop>
  <Company>Microsoft</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daktekin</cp:lastModifiedBy>
  <cp:revision>7</cp:revision>
  <dcterms:created xsi:type="dcterms:W3CDTF">2019-07-03T07:45:00Z</dcterms:created>
  <dcterms:modified xsi:type="dcterms:W3CDTF">2019-07-03T11:41:00Z</dcterms:modified>
</cp:coreProperties>
</file>